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9B" w:rsidRDefault="00984A2D" w:rsidP="006C579B">
      <w:pPr>
        <w:pStyle w:val="NoSpacing"/>
        <w:rPr>
          <w:b/>
        </w:rPr>
      </w:pPr>
      <w:r>
        <w:rPr>
          <w:b/>
        </w:rPr>
        <w:t>Partner Engagement Policies</w:t>
      </w:r>
      <w:r w:rsidR="006C579B">
        <w:rPr>
          <w:b/>
        </w:rPr>
        <w:t xml:space="preserve"> Planning Guide</w:t>
      </w:r>
    </w:p>
    <w:p w:rsidR="006C579B" w:rsidRDefault="006C579B" w:rsidP="006C579B">
      <w:pPr>
        <w:pStyle w:val="NoSpacing"/>
        <w:rPr>
          <w:b/>
        </w:rPr>
      </w:pPr>
    </w:p>
    <w:p w:rsidR="000F25A6" w:rsidRDefault="006C579B" w:rsidP="0000508B">
      <w:pPr>
        <w:pStyle w:val="NoSpacing"/>
        <w:jc w:val="both"/>
      </w:pPr>
      <w:r>
        <w:t xml:space="preserve">This purpose of this guide is to assist affiliate leadership in developing </w:t>
      </w:r>
      <w:r w:rsidR="00984A2D">
        <w:t xml:space="preserve">policies for working with other organizations to make efficient </w:t>
      </w:r>
      <w:r w:rsidR="0077542D">
        <w:t>use of external resources and</w:t>
      </w:r>
      <w:r w:rsidR="00984A2D">
        <w:t xml:space="preserve"> improve services to meet identified </w:t>
      </w:r>
      <w:r w:rsidR="005B38B4">
        <w:t xml:space="preserve">student </w:t>
      </w:r>
      <w:r w:rsidR="00984A2D">
        <w:t xml:space="preserve">needs.  </w:t>
      </w:r>
      <w:r w:rsidR="004E33DD">
        <w:t xml:space="preserve">Development and implementation of policies for engaging community partners in the delivery of student supports ensures such activities are embedded in the culture of Communities </w:t>
      </w:r>
      <w:proofErr w:type="gramStart"/>
      <w:r w:rsidR="004E33DD">
        <w:t>In</w:t>
      </w:r>
      <w:proofErr w:type="gramEnd"/>
      <w:r w:rsidR="004E33DD">
        <w:t xml:space="preserve"> Schools of XXXX County.   </w:t>
      </w:r>
      <w:r w:rsidR="000F25A6">
        <w:t>The</w:t>
      </w:r>
      <w:r w:rsidR="004E33DD">
        <w:t xml:space="preserve"> primary areas of focus for these</w:t>
      </w:r>
      <w:r w:rsidR="000F25A6">
        <w:t xml:space="preserve"> </w:t>
      </w:r>
      <w:r w:rsidR="00E41BCB">
        <w:t xml:space="preserve">board-approved </w:t>
      </w:r>
      <w:r w:rsidR="00984A2D">
        <w:t>policies</w:t>
      </w:r>
      <w:r w:rsidR="005B38B4">
        <w:t xml:space="preserve"> are:  criteria, </w:t>
      </w:r>
      <w:r w:rsidR="0066752C">
        <w:t>identification and recruitment, written partnership agreements, orientation</w:t>
      </w:r>
      <w:r w:rsidR="00CC1B16">
        <w:t>, monitoring and evaluation,</w:t>
      </w:r>
      <w:r w:rsidR="0066752C">
        <w:t xml:space="preserve"> and ongoing communication.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25A6" w:rsidTr="000F126A">
        <w:tc>
          <w:tcPr>
            <w:tcW w:w="9350" w:type="dxa"/>
            <w:gridSpan w:val="2"/>
            <w:shd w:val="clear" w:color="auto" w:fill="FBE4D5" w:themeFill="accent2" w:themeFillTint="33"/>
          </w:tcPr>
          <w:p w:rsidR="000F25A6" w:rsidRPr="000F25A6" w:rsidRDefault="000F25A6" w:rsidP="004E33DD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="009D0CE9">
              <w:rPr>
                <w:b/>
              </w:rPr>
              <w:t>riteria</w:t>
            </w:r>
          </w:p>
        </w:tc>
      </w:tr>
      <w:tr w:rsidR="000F25A6" w:rsidTr="000F25A6">
        <w:tc>
          <w:tcPr>
            <w:tcW w:w="4675" w:type="dxa"/>
          </w:tcPr>
          <w:p w:rsidR="008E4EA0" w:rsidRDefault="009D0CE9" w:rsidP="004E33DD">
            <w:pPr>
              <w:pStyle w:val="NoSpacing"/>
              <w:jc w:val="both"/>
            </w:pPr>
            <w:r>
              <w:t xml:space="preserve">Establish criteria for pursuing formal partnerships with </w:t>
            </w:r>
            <w:r w:rsidR="004E33DD">
              <w:t xml:space="preserve">specific </w:t>
            </w:r>
            <w:r>
              <w:t>external organizations</w:t>
            </w:r>
            <w:r w:rsidR="004E33DD">
              <w:t>.</w:t>
            </w:r>
          </w:p>
        </w:tc>
        <w:tc>
          <w:tcPr>
            <w:tcW w:w="4675" w:type="dxa"/>
          </w:tcPr>
          <w:p w:rsidR="004E33DD" w:rsidRDefault="009D0CE9" w:rsidP="009D0CE9">
            <w:pPr>
              <w:pStyle w:val="NoSpacing"/>
              <w:jc w:val="both"/>
            </w:pPr>
            <w:r>
              <w:t>Determine needs based on annual school needs assessment.</w:t>
            </w:r>
          </w:p>
          <w:p w:rsidR="005B38B4" w:rsidRDefault="005B38B4" w:rsidP="009D0CE9">
            <w:pPr>
              <w:pStyle w:val="NoSpacing"/>
              <w:jc w:val="both"/>
            </w:pPr>
          </w:p>
          <w:p w:rsidR="005B38B4" w:rsidRDefault="005B38B4" w:rsidP="009D0CE9">
            <w:pPr>
              <w:pStyle w:val="NoSpacing"/>
              <w:jc w:val="both"/>
            </w:pPr>
            <w:r>
              <w:t>Utilize</w:t>
            </w:r>
            <w:r w:rsidR="0098191C">
              <w:t xml:space="preserve"> </w:t>
            </w:r>
            <w:r>
              <w:t xml:space="preserve">Partnership Decision Tree to determine </w:t>
            </w:r>
            <w:r w:rsidR="004E33DD">
              <w:t>if there is an existing community partner that can deliver the service.</w:t>
            </w:r>
          </w:p>
          <w:p w:rsidR="004E33DD" w:rsidRDefault="004E33DD" w:rsidP="009D0CE9">
            <w:pPr>
              <w:pStyle w:val="NoSpacing"/>
              <w:jc w:val="both"/>
            </w:pPr>
          </w:p>
          <w:p w:rsidR="009D0CE9" w:rsidRDefault="00F157F0" w:rsidP="00CC1B16">
            <w:pPr>
              <w:pStyle w:val="NoSpacing"/>
            </w:pPr>
            <w:r>
              <w:t>Can</w:t>
            </w:r>
            <w:r w:rsidR="004E33DD">
              <w:t xml:space="preserve"> this be a </w:t>
            </w:r>
            <w:r w:rsidR="0098191C">
              <w:t>sustainable</w:t>
            </w:r>
            <w:r>
              <w:t>,</w:t>
            </w:r>
            <w:r w:rsidR="0098191C">
              <w:t xml:space="preserve"> </w:t>
            </w:r>
            <w:r w:rsidR="004E33DD">
              <w:t xml:space="preserve">mutually </w:t>
            </w:r>
            <w:r w:rsidR="00BB76F8">
              <w:t xml:space="preserve">beneficial </w:t>
            </w:r>
            <w:r w:rsidR="0098191C">
              <w:t>relationship?</w:t>
            </w:r>
          </w:p>
        </w:tc>
      </w:tr>
      <w:tr w:rsidR="008E4EA0" w:rsidTr="006F7014">
        <w:tc>
          <w:tcPr>
            <w:tcW w:w="9350" w:type="dxa"/>
            <w:gridSpan w:val="2"/>
            <w:shd w:val="clear" w:color="auto" w:fill="FBE4D5" w:themeFill="accent2" w:themeFillTint="33"/>
          </w:tcPr>
          <w:p w:rsidR="008E4EA0" w:rsidRPr="007C3B1B" w:rsidRDefault="0066752C" w:rsidP="0000508B">
            <w:pPr>
              <w:pStyle w:val="NoSpacing"/>
              <w:jc w:val="both"/>
            </w:pPr>
            <w:r>
              <w:rPr>
                <w:b/>
              </w:rPr>
              <w:t>Identification and Recruitment</w:t>
            </w:r>
          </w:p>
        </w:tc>
      </w:tr>
      <w:tr w:rsidR="000F25A6" w:rsidTr="000F25A6">
        <w:tc>
          <w:tcPr>
            <w:tcW w:w="4675" w:type="dxa"/>
          </w:tcPr>
          <w:p w:rsidR="000F25A6" w:rsidRDefault="0066752C" w:rsidP="007C3B1B">
            <w:pPr>
              <w:pStyle w:val="NoSpacing"/>
              <w:jc w:val="both"/>
            </w:pPr>
            <w:r>
              <w:t>Create partnership grid to aid in strategically recruiting and maintaining significant partners.</w:t>
            </w:r>
          </w:p>
          <w:p w:rsidR="004E33DD" w:rsidRDefault="004E33DD" w:rsidP="007C3B1B">
            <w:pPr>
              <w:pStyle w:val="NoSpacing"/>
              <w:jc w:val="both"/>
            </w:pPr>
          </w:p>
          <w:p w:rsidR="004E33DD" w:rsidRDefault="004E33DD" w:rsidP="007C3B1B">
            <w:pPr>
              <w:pStyle w:val="NoSpacing"/>
              <w:jc w:val="both"/>
            </w:pPr>
          </w:p>
        </w:tc>
        <w:tc>
          <w:tcPr>
            <w:tcW w:w="4675" w:type="dxa"/>
          </w:tcPr>
          <w:p w:rsidR="00F157F0" w:rsidRDefault="00F157F0" w:rsidP="00F157F0">
            <w:pPr>
              <w:pStyle w:val="NoSpacing"/>
            </w:pPr>
            <w:r>
              <w:t>Utilize memberships in civic organizations as a platform for sharing information about CIS and generating interest in possible partnerships.</w:t>
            </w:r>
          </w:p>
          <w:p w:rsidR="00F157F0" w:rsidRDefault="00F157F0" w:rsidP="00F157F0">
            <w:pPr>
              <w:pStyle w:val="NoSpacing"/>
            </w:pPr>
          </w:p>
          <w:p w:rsidR="00A353D3" w:rsidRDefault="00F157F0" w:rsidP="00F157F0">
            <w:pPr>
              <w:pStyle w:val="NoSpacing"/>
            </w:pPr>
            <w:r>
              <w:t>Schedule individual meetings with potential partners to determine if there are mutual goals that can be met by becoming partners.</w:t>
            </w:r>
          </w:p>
          <w:p w:rsidR="00F157F0" w:rsidRDefault="00F157F0" w:rsidP="00F157F0">
            <w:pPr>
              <w:pStyle w:val="NoSpacing"/>
            </w:pPr>
          </w:p>
        </w:tc>
      </w:tr>
      <w:tr w:rsidR="00E41BCB" w:rsidTr="006F7014">
        <w:tc>
          <w:tcPr>
            <w:tcW w:w="9350" w:type="dxa"/>
            <w:gridSpan w:val="2"/>
            <w:shd w:val="clear" w:color="auto" w:fill="FBE4D5" w:themeFill="accent2" w:themeFillTint="33"/>
          </w:tcPr>
          <w:p w:rsidR="00E41BCB" w:rsidRPr="00E41BCB" w:rsidRDefault="005B38B4" w:rsidP="0000508B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Written Partnership Agreement</w:t>
            </w:r>
          </w:p>
        </w:tc>
      </w:tr>
      <w:tr w:rsidR="000F25A6" w:rsidTr="000F25A6">
        <w:tc>
          <w:tcPr>
            <w:tcW w:w="4675" w:type="dxa"/>
          </w:tcPr>
          <w:p w:rsidR="004E33DD" w:rsidRDefault="0098191C" w:rsidP="0098191C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Written agreements contain:</w:t>
            </w:r>
          </w:p>
          <w:p w:rsidR="0066752C" w:rsidRPr="0066752C" w:rsidRDefault="0066752C" w:rsidP="0066752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Definition of legal relationship between the partners</w:t>
            </w:r>
          </w:p>
          <w:p w:rsidR="0098191C" w:rsidRDefault="0098191C" w:rsidP="0098191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Roles and responsibilities of all parties</w:t>
            </w:r>
          </w:p>
          <w:p w:rsidR="0098191C" w:rsidRDefault="0098191C" w:rsidP="0098191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Duration agreement</w:t>
            </w:r>
          </w:p>
          <w:p w:rsidR="0098191C" w:rsidRDefault="0098191C" w:rsidP="0098191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Quantifiable intended deliverables</w:t>
            </w:r>
          </w:p>
          <w:p w:rsidR="004E33DD" w:rsidRPr="0098191C" w:rsidRDefault="004E33DD" w:rsidP="0066752C">
            <w:pPr>
              <w:pStyle w:val="ListParagraph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5" w:type="dxa"/>
          </w:tcPr>
          <w:p w:rsidR="0098191C" w:rsidRDefault="0066752C" w:rsidP="0098191C">
            <w:pPr>
              <w:pStyle w:val="NoSpacing"/>
              <w:jc w:val="both"/>
            </w:pPr>
            <w:r>
              <w:t>When partners provide</w:t>
            </w:r>
            <w:r w:rsidR="0098191C">
              <w:t xml:space="preserve"> direct services to students and/or have access to confidential information they will</w:t>
            </w:r>
            <w:r>
              <w:t xml:space="preserve"> comply with</w:t>
            </w:r>
            <w:r w:rsidR="0098191C">
              <w:t>:</w:t>
            </w:r>
          </w:p>
          <w:p w:rsidR="0098191C" w:rsidRDefault="0098191C" w:rsidP="0098191C">
            <w:pPr>
              <w:pStyle w:val="NoSpacing"/>
              <w:numPr>
                <w:ilvl w:val="0"/>
                <w:numId w:val="13"/>
              </w:numPr>
            </w:pPr>
            <w:r>
              <w:t>CIS Confidentiality Agreement</w:t>
            </w:r>
          </w:p>
          <w:p w:rsidR="0098191C" w:rsidRDefault="0098191C" w:rsidP="0098191C">
            <w:pPr>
              <w:pStyle w:val="NoSpacing"/>
              <w:numPr>
                <w:ilvl w:val="0"/>
                <w:numId w:val="13"/>
              </w:numPr>
            </w:pPr>
            <w:r>
              <w:t>CIS Code of Conduct</w:t>
            </w:r>
          </w:p>
          <w:p w:rsidR="0066752C" w:rsidRDefault="0066752C" w:rsidP="0066752C">
            <w:pPr>
              <w:pStyle w:val="NoSpacing"/>
              <w:numPr>
                <w:ilvl w:val="0"/>
                <w:numId w:val="13"/>
              </w:numPr>
            </w:pPr>
            <w:r>
              <w:t>CIS Mandatory Reporter Policy</w:t>
            </w:r>
          </w:p>
          <w:p w:rsidR="0066752C" w:rsidRDefault="0066752C" w:rsidP="0066752C">
            <w:pPr>
              <w:pStyle w:val="NoSpacing"/>
            </w:pPr>
            <w:r>
              <w:t>On a case-by-case basis, the following will be given consideration:</w:t>
            </w:r>
          </w:p>
          <w:p w:rsidR="0066752C" w:rsidRDefault="0066752C" w:rsidP="0066752C">
            <w:pPr>
              <w:pStyle w:val="NoSpacing"/>
              <w:numPr>
                <w:ilvl w:val="0"/>
                <w:numId w:val="14"/>
              </w:numPr>
            </w:pPr>
            <w:r>
              <w:t>Screening/background check requirements</w:t>
            </w:r>
          </w:p>
          <w:p w:rsidR="0066752C" w:rsidRDefault="0066752C" w:rsidP="0066752C">
            <w:pPr>
              <w:pStyle w:val="NoSpacing"/>
              <w:numPr>
                <w:ilvl w:val="0"/>
                <w:numId w:val="14"/>
              </w:numPr>
            </w:pPr>
            <w:r>
              <w:t>Insurance coverage</w:t>
            </w:r>
          </w:p>
          <w:p w:rsidR="0066752C" w:rsidRDefault="0066752C" w:rsidP="00F157F0">
            <w:pPr>
              <w:pStyle w:val="NoSpacing"/>
              <w:numPr>
                <w:ilvl w:val="0"/>
                <w:numId w:val="14"/>
              </w:numPr>
            </w:pPr>
            <w:r>
              <w:t>Indemnification</w:t>
            </w:r>
          </w:p>
        </w:tc>
      </w:tr>
      <w:tr w:rsidR="005B38B4" w:rsidTr="005B38B4">
        <w:tc>
          <w:tcPr>
            <w:tcW w:w="9350" w:type="dxa"/>
            <w:gridSpan w:val="2"/>
            <w:shd w:val="clear" w:color="auto" w:fill="FBE4D5" w:themeFill="accent2" w:themeFillTint="33"/>
          </w:tcPr>
          <w:p w:rsidR="005B38B4" w:rsidRPr="004E33DD" w:rsidRDefault="00BB76F8" w:rsidP="0000508B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Orientation</w:t>
            </w:r>
          </w:p>
        </w:tc>
      </w:tr>
      <w:tr w:rsidR="005B38B4" w:rsidTr="00F157F0">
        <w:tc>
          <w:tcPr>
            <w:tcW w:w="4675" w:type="dxa"/>
            <w:tcBorders>
              <w:bottom w:val="single" w:sz="4" w:space="0" w:color="auto"/>
            </w:tcBorders>
          </w:tcPr>
          <w:p w:rsidR="005B38B4" w:rsidRDefault="00F524E5" w:rsidP="00F524E5">
            <w:pPr>
              <w:pStyle w:val="NoSpacing"/>
              <w:jc w:val="both"/>
            </w:pPr>
            <w:r>
              <w:t xml:space="preserve">Identify </w:t>
            </w:r>
            <w:r w:rsidR="0000622F">
              <w:t>all personnel</w:t>
            </w:r>
            <w:r>
              <w:t xml:space="preserve"> from partner agencies who will be providing direct services to students and/or have access to confidential information.</w:t>
            </w:r>
          </w:p>
          <w:p w:rsidR="004E33DD" w:rsidRDefault="004E33DD" w:rsidP="005B38B4">
            <w:pPr>
              <w:pStyle w:val="NoSpacing"/>
              <w:ind w:left="720"/>
              <w:jc w:val="both"/>
            </w:pPr>
          </w:p>
          <w:p w:rsidR="004E33DD" w:rsidRDefault="004E33DD" w:rsidP="005B38B4">
            <w:pPr>
              <w:pStyle w:val="NoSpacing"/>
              <w:ind w:left="720"/>
              <w:jc w:val="both"/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5B38B4" w:rsidRDefault="00F524E5" w:rsidP="00F524E5">
            <w:pPr>
              <w:pStyle w:val="NoSpacing"/>
            </w:pPr>
            <w:r>
              <w:t>Ensure that all identified personnel participate in CIS orientation similar to that for Volunteers, but modified in a way that is relevant to the services provided.</w:t>
            </w:r>
          </w:p>
        </w:tc>
      </w:tr>
      <w:tr w:rsidR="00F157F0" w:rsidTr="00F157F0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157F0" w:rsidRPr="00F524E5" w:rsidRDefault="00F524E5" w:rsidP="0000508B">
            <w:pPr>
              <w:pStyle w:val="NoSpacing"/>
              <w:jc w:val="both"/>
              <w:rPr>
                <w:b/>
              </w:rPr>
            </w:pPr>
            <w:r w:rsidRPr="00F524E5">
              <w:rPr>
                <w:b/>
              </w:rPr>
              <w:lastRenderedPageBreak/>
              <w:t>Monitoring and Evaluation</w:t>
            </w:r>
          </w:p>
        </w:tc>
      </w:tr>
      <w:tr w:rsidR="00F157F0" w:rsidTr="005B38B4">
        <w:tc>
          <w:tcPr>
            <w:tcW w:w="4675" w:type="dxa"/>
            <w:tcBorders>
              <w:bottom w:val="single" w:sz="4" w:space="0" w:color="auto"/>
            </w:tcBorders>
          </w:tcPr>
          <w:p w:rsidR="00F157F0" w:rsidRDefault="00F524E5" w:rsidP="0000622F">
            <w:pPr>
              <w:pStyle w:val="NoSpacing"/>
              <w:jc w:val="both"/>
            </w:pPr>
            <w:r>
              <w:t xml:space="preserve">Determine which CIS employee is responsible for monitoring </w:t>
            </w:r>
            <w:r w:rsidR="0000622F">
              <w:t xml:space="preserve">progress toward meeting </w:t>
            </w:r>
            <w:r>
              <w:t xml:space="preserve">the quantifiable intended deliverables defined in </w:t>
            </w:r>
            <w:r w:rsidR="0000622F">
              <w:t xml:space="preserve">each of </w:t>
            </w:r>
            <w:r>
              <w:t>the Partnership Agreement</w:t>
            </w:r>
            <w:r w:rsidR="0000622F">
              <w:t>s</w:t>
            </w:r>
            <w:r>
              <w:t>.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00622F" w:rsidRDefault="0000622F" w:rsidP="00F524E5">
            <w:pPr>
              <w:pStyle w:val="NoSpacing"/>
              <w:jc w:val="both"/>
            </w:pPr>
            <w:r>
              <w:t xml:space="preserve">Develop reporting format and timelines for partners to convey progress toward meeting the quantifiable intended outcomes. </w:t>
            </w:r>
          </w:p>
          <w:p w:rsidR="0000622F" w:rsidRDefault="0000622F" w:rsidP="00F524E5">
            <w:pPr>
              <w:pStyle w:val="NoSpacing"/>
              <w:jc w:val="both"/>
            </w:pPr>
          </w:p>
          <w:p w:rsidR="00F157F0" w:rsidRDefault="0000622F" w:rsidP="00F524E5">
            <w:pPr>
              <w:pStyle w:val="NoSpacing"/>
              <w:jc w:val="both"/>
            </w:pPr>
            <w:r>
              <w:t>Determine if deliverables were met at the end of school year.</w:t>
            </w:r>
          </w:p>
          <w:p w:rsidR="00CC1B16" w:rsidRDefault="00CC1B16" w:rsidP="00F524E5">
            <w:pPr>
              <w:pStyle w:val="NoSpacing"/>
              <w:jc w:val="both"/>
            </w:pPr>
          </w:p>
        </w:tc>
      </w:tr>
      <w:tr w:rsidR="005B38B4" w:rsidTr="004E33DD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B38B4" w:rsidRPr="004E33DD" w:rsidRDefault="004E33DD" w:rsidP="0000508B">
            <w:pPr>
              <w:pStyle w:val="NoSpacing"/>
              <w:jc w:val="both"/>
              <w:rPr>
                <w:b/>
              </w:rPr>
            </w:pPr>
            <w:r w:rsidRPr="004E33DD">
              <w:rPr>
                <w:b/>
              </w:rPr>
              <w:t>Ongoing Communication</w:t>
            </w:r>
          </w:p>
        </w:tc>
      </w:tr>
      <w:tr w:rsidR="004E33DD" w:rsidTr="004E33DD">
        <w:tc>
          <w:tcPr>
            <w:tcW w:w="4675" w:type="dxa"/>
            <w:shd w:val="clear" w:color="auto" w:fill="auto"/>
          </w:tcPr>
          <w:p w:rsidR="004E33DD" w:rsidRDefault="00BB76F8" w:rsidP="0000508B">
            <w:pPr>
              <w:pStyle w:val="NoSpacing"/>
              <w:jc w:val="both"/>
            </w:pPr>
            <w:r>
              <w:t>Continue to strengthen the relationship</w:t>
            </w:r>
          </w:p>
          <w:p w:rsidR="004E33DD" w:rsidRDefault="004E33DD" w:rsidP="0000508B">
            <w:pPr>
              <w:pStyle w:val="NoSpacing"/>
              <w:jc w:val="both"/>
            </w:pPr>
          </w:p>
          <w:p w:rsidR="004E33DD" w:rsidRDefault="004E33DD" w:rsidP="0000508B">
            <w:pPr>
              <w:pStyle w:val="NoSpacing"/>
              <w:jc w:val="both"/>
            </w:pPr>
          </w:p>
        </w:tc>
        <w:tc>
          <w:tcPr>
            <w:tcW w:w="4675" w:type="dxa"/>
            <w:shd w:val="clear" w:color="auto" w:fill="auto"/>
          </w:tcPr>
          <w:p w:rsidR="004E33DD" w:rsidRDefault="00BB76F8" w:rsidP="00BB76F8">
            <w:pPr>
              <w:pStyle w:val="NoSpacing"/>
            </w:pPr>
            <w:r>
              <w:t>Add names of all partners to e-mail communications distribution list</w:t>
            </w:r>
            <w:r w:rsidR="0000622F">
              <w:t xml:space="preserve"> (newsletters, annual impact reports</w:t>
            </w:r>
            <w:r w:rsidR="00F524E5">
              <w:t>,</w:t>
            </w:r>
            <w:r w:rsidR="0000622F">
              <w:t xml:space="preserve"> etc.)</w:t>
            </w:r>
            <w:r w:rsidR="00F524E5">
              <w:t xml:space="preserve"> ensuring that documented student outcomes are conveyed</w:t>
            </w:r>
            <w:r>
              <w:t>.</w:t>
            </w:r>
          </w:p>
          <w:p w:rsidR="00BB76F8" w:rsidRDefault="00BB76F8" w:rsidP="00BB76F8">
            <w:pPr>
              <w:pStyle w:val="NoSpacing"/>
            </w:pPr>
          </w:p>
        </w:tc>
      </w:tr>
    </w:tbl>
    <w:p w:rsidR="000F25A6" w:rsidRDefault="000F25A6" w:rsidP="0000508B">
      <w:pPr>
        <w:pStyle w:val="NoSpacing"/>
        <w:jc w:val="both"/>
      </w:pPr>
    </w:p>
    <w:p w:rsidR="006C579B" w:rsidRDefault="006C579B" w:rsidP="0000508B">
      <w:pPr>
        <w:jc w:val="both"/>
      </w:pPr>
    </w:p>
    <w:p w:rsidR="006C579B" w:rsidRDefault="006C579B"/>
    <w:p w:rsidR="006C579B" w:rsidRDefault="006C579B"/>
    <w:p w:rsidR="0088790D" w:rsidRDefault="0088790D"/>
    <w:p w:rsidR="0088790D" w:rsidRDefault="0088790D"/>
    <w:p w:rsidR="0088790D" w:rsidRDefault="0088790D"/>
    <w:p w:rsidR="0088790D" w:rsidRDefault="0088790D"/>
    <w:p w:rsidR="0088790D" w:rsidRDefault="0088790D"/>
    <w:p w:rsidR="0088790D" w:rsidRDefault="0088790D"/>
    <w:p w:rsidR="0088790D" w:rsidRDefault="0088790D"/>
    <w:p w:rsidR="0088790D" w:rsidRDefault="0088790D"/>
    <w:p w:rsidR="0088790D" w:rsidRDefault="0088790D"/>
    <w:p w:rsidR="0088790D" w:rsidRDefault="0088790D"/>
    <w:p w:rsidR="0088790D" w:rsidRDefault="0088790D"/>
    <w:p w:rsidR="0088790D" w:rsidRDefault="0088790D"/>
    <w:p w:rsidR="0088790D" w:rsidRDefault="0088790D"/>
    <w:p w:rsidR="0088790D" w:rsidRDefault="0088790D"/>
    <w:p w:rsidR="0000622F" w:rsidRDefault="0000622F"/>
    <w:p w:rsidR="0000622F" w:rsidRDefault="0000622F"/>
    <w:p w:rsidR="0000622F" w:rsidRDefault="0000622F"/>
    <w:p w:rsidR="0000622F" w:rsidRDefault="0000622F"/>
    <w:p w:rsidR="0000622F" w:rsidRDefault="0000622F"/>
    <w:p w:rsidR="0088790D" w:rsidRDefault="0088790D"/>
    <w:p w:rsidR="0088790D" w:rsidRDefault="0088790D"/>
    <w:p w:rsidR="0088790D" w:rsidRPr="0088790D" w:rsidRDefault="0088790D">
      <w:pPr>
        <w:rPr>
          <w:rFonts w:asciiTheme="minorHAnsi" w:hAnsiTheme="minorHAnsi"/>
          <w:i/>
          <w:sz w:val="18"/>
          <w:szCs w:val="18"/>
        </w:rPr>
      </w:pPr>
      <w:bookmarkStart w:id="0" w:name="_GoBack"/>
      <w:bookmarkEnd w:id="0"/>
    </w:p>
    <w:sectPr w:rsidR="0088790D" w:rsidRPr="0088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7BC" w:rsidRDefault="00C447BC" w:rsidP="0088790D">
      <w:r>
        <w:separator/>
      </w:r>
    </w:p>
  </w:endnote>
  <w:endnote w:type="continuationSeparator" w:id="0">
    <w:p w:rsidR="00C447BC" w:rsidRDefault="00C447BC" w:rsidP="0088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A6" w:rsidRDefault="000F4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514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790D" w:rsidRDefault="008879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9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790D" w:rsidRDefault="008879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A6" w:rsidRDefault="000F4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7BC" w:rsidRDefault="00C447BC" w:rsidP="0088790D">
      <w:r>
        <w:separator/>
      </w:r>
    </w:p>
  </w:footnote>
  <w:footnote w:type="continuationSeparator" w:id="0">
    <w:p w:rsidR="00C447BC" w:rsidRDefault="00C447BC" w:rsidP="00887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A6" w:rsidRDefault="006569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359688" o:spid="_x0000_s2050" type="#_x0000_t136" style="position:absolute;margin-left:0;margin-top:0;width:590.4pt;height:69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A6" w:rsidRDefault="006569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359689" o:spid="_x0000_s2051" type="#_x0000_t136" style="position:absolute;margin-left:0;margin-top:0;width:590.4pt;height:69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A6" w:rsidRDefault="006569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359687" o:spid="_x0000_s2049" type="#_x0000_t136" style="position:absolute;margin-left:0;margin-top:0;width:590.4pt;height:69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6DF2"/>
    <w:multiLevelType w:val="hybridMultilevel"/>
    <w:tmpl w:val="6FF0C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2517C"/>
    <w:multiLevelType w:val="hybridMultilevel"/>
    <w:tmpl w:val="B678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2722"/>
    <w:multiLevelType w:val="hybridMultilevel"/>
    <w:tmpl w:val="FAE8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C4B8F"/>
    <w:multiLevelType w:val="hybridMultilevel"/>
    <w:tmpl w:val="CAE0A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C75CF4"/>
    <w:multiLevelType w:val="hybridMultilevel"/>
    <w:tmpl w:val="982C4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2A7807"/>
    <w:multiLevelType w:val="hybridMultilevel"/>
    <w:tmpl w:val="05A2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1749E"/>
    <w:multiLevelType w:val="hybridMultilevel"/>
    <w:tmpl w:val="60760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0A2861"/>
    <w:multiLevelType w:val="hybridMultilevel"/>
    <w:tmpl w:val="80720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605672"/>
    <w:multiLevelType w:val="hybridMultilevel"/>
    <w:tmpl w:val="17E04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172391"/>
    <w:multiLevelType w:val="hybridMultilevel"/>
    <w:tmpl w:val="6A2C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917FC"/>
    <w:multiLevelType w:val="hybridMultilevel"/>
    <w:tmpl w:val="B1C2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079DF"/>
    <w:multiLevelType w:val="hybridMultilevel"/>
    <w:tmpl w:val="7708F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007667"/>
    <w:multiLevelType w:val="hybridMultilevel"/>
    <w:tmpl w:val="B040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D5D5F"/>
    <w:multiLevelType w:val="hybridMultilevel"/>
    <w:tmpl w:val="98CC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9739D"/>
    <w:multiLevelType w:val="hybridMultilevel"/>
    <w:tmpl w:val="55B4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65118"/>
    <w:multiLevelType w:val="hybridMultilevel"/>
    <w:tmpl w:val="74EE7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AA77C0"/>
    <w:multiLevelType w:val="hybridMultilevel"/>
    <w:tmpl w:val="BA38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B64AC"/>
    <w:multiLevelType w:val="hybridMultilevel"/>
    <w:tmpl w:val="C7B8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14"/>
  </w:num>
  <w:num w:numId="8">
    <w:abstractNumId w:val="2"/>
  </w:num>
  <w:num w:numId="9">
    <w:abstractNumId w:val="13"/>
  </w:num>
  <w:num w:numId="10">
    <w:abstractNumId w:val="16"/>
  </w:num>
  <w:num w:numId="11">
    <w:abstractNumId w:val="10"/>
  </w:num>
  <w:num w:numId="12">
    <w:abstractNumId w:val="17"/>
  </w:num>
  <w:num w:numId="13">
    <w:abstractNumId w:val="12"/>
  </w:num>
  <w:num w:numId="14">
    <w:abstractNumId w:val="1"/>
  </w:num>
  <w:num w:numId="15">
    <w:abstractNumId w:val="15"/>
  </w:num>
  <w:num w:numId="16">
    <w:abstractNumId w:val="8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9B"/>
    <w:rsid w:val="0000508B"/>
    <w:rsid w:val="0000622F"/>
    <w:rsid w:val="000F126A"/>
    <w:rsid w:val="000F25A6"/>
    <w:rsid w:val="000F4CA6"/>
    <w:rsid w:val="002B0FA8"/>
    <w:rsid w:val="00323A4E"/>
    <w:rsid w:val="004E33DD"/>
    <w:rsid w:val="0053384E"/>
    <w:rsid w:val="005B38B4"/>
    <w:rsid w:val="006569DC"/>
    <w:rsid w:val="0066752C"/>
    <w:rsid w:val="006A3D45"/>
    <w:rsid w:val="006C579B"/>
    <w:rsid w:val="006F7014"/>
    <w:rsid w:val="0077542D"/>
    <w:rsid w:val="007C1971"/>
    <w:rsid w:val="007C3B1B"/>
    <w:rsid w:val="00852338"/>
    <w:rsid w:val="00862A58"/>
    <w:rsid w:val="0088790D"/>
    <w:rsid w:val="008E4EA0"/>
    <w:rsid w:val="009245B1"/>
    <w:rsid w:val="0098191C"/>
    <w:rsid w:val="00984A2D"/>
    <w:rsid w:val="009D0CE9"/>
    <w:rsid w:val="00A353D3"/>
    <w:rsid w:val="00A42B87"/>
    <w:rsid w:val="00B435A5"/>
    <w:rsid w:val="00B81070"/>
    <w:rsid w:val="00BB76F8"/>
    <w:rsid w:val="00C447BC"/>
    <w:rsid w:val="00CA0C82"/>
    <w:rsid w:val="00CB6DE1"/>
    <w:rsid w:val="00CC1B16"/>
    <w:rsid w:val="00D9458C"/>
    <w:rsid w:val="00E251F2"/>
    <w:rsid w:val="00E41BCB"/>
    <w:rsid w:val="00F157F0"/>
    <w:rsid w:val="00F5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06CF8D"/>
  <w15:chartTrackingRefBased/>
  <w15:docId w15:val="{F00324D7-AA60-4188-AE27-C30E312B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B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79B"/>
    <w:pPr>
      <w:spacing w:after="0" w:line="240" w:lineRule="auto"/>
    </w:pPr>
  </w:style>
  <w:style w:type="table" w:styleId="TableGrid">
    <w:name w:val="Table Grid"/>
    <w:basedOn w:val="TableNormal"/>
    <w:uiPriority w:val="39"/>
    <w:rsid w:val="000F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9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7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90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</dc:creator>
  <cp:keywords/>
  <dc:description/>
  <cp:lastModifiedBy>Heather Wallace</cp:lastModifiedBy>
  <cp:revision>7</cp:revision>
  <dcterms:created xsi:type="dcterms:W3CDTF">2016-06-21T03:45:00Z</dcterms:created>
  <dcterms:modified xsi:type="dcterms:W3CDTF">2017-03-13T17:42:00Z</dcterms:modified>
</cp:coreProperties>
</file>