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9B" w:rsidRDefault="002B0FA8" w:rsidP="006C579B">
      <w:pPr>
        <w:pStyle w:val="NoSpacing"/>
        <w:rPr>
          <w:b/>
        </w:rPr>
      </w:pPr>
      <w:bookmarkStart w:id="0" w:name="_GoBack"/>
      <w:bookmarkEnd w:id="0"/>
      <w:r>
        <w:rPr>
          <w:b/>
        </w:rPr>
        <w:t>Business</w:t>
      </w:r>
      <w:r w:rsidR="006C579B">
        <w:rPr>
          <w:b/>
        </w:rPr>
        <w:t xml:space="preserve"> Continuity Planning Guide</w:t>
      </w:r>
    </w:p>
    <w:p w:rsidR="006C579B" w:rsidRDefault="006C579B" w:rsidP="006C579B">
      <w:pPr>
        <w:pStyle w:val="NoSpacing"/>
        <w:rPr>
          <w:b/>
        </w:rPr>
      </w:pPr>
    </w:p>
    <w:p w:rsidR="006C579B" w:rsidRDefault="006C579B" w:rsidP="0000508B">
      <w:pPr>
        <w:pStyle w:val="NoSpacing"/>
        <w:jc w:val="both"/>
      </w:pPr>
      <w:r>
        <w:t xml:space="preserve">This purpose of this guide is to assist affiliate leadership in developing procedures to follow in the event normal business </w:t>
      </w:r>
      <w:r w:rsidR="00D9458C">
        <w:t>operations</w:t>
      </w:r>
      <w:r>
        <w:t xml:space="preserve"> are interrupted to due to a natural disaster</w:t>
      </w:r>
      <w:r w:rsidR="00862A58">
        <w:t xml:space="preserve"> or emergency situation.</w:t>
      </w:r>
      <w:r w:rsidR="00D9458C">
        <w:t xml:space="preserve">  Careful contingency</w:t>
      </w:r>
      <w:r>
        <w:t xml:space="preserve"> planning </w:t>
      </w:r>
      <w:r w:rsidR="00862A58">
        <w:t>can minimize interruption</w:t>
      </w:r>
      <w:r w:rsidR="0000508B">
        <w:t>,</w:t>
      </w:r>
      <w:r w:rsidR="00862A58">
        <w:t xml:space="preserve"> allowing for </w:t>
      </w:r>
      <w:r w:rsidR="0000508B">
        <w:t xml:space="preserve">return to pre-crisis state as quickly as possible.  </w:t>
      </w:r>
      <w:r w:rsidR="000F25A6">
        <w:t xml:space="preserve">Procedures will be reviewed periodically with all employees to ensure they are prepared to act if the need arises.  </w:t>
      </w:r>
      <w:r w:rsidR="0000508B">
        <w:t>It is imperative that</w:t>
      </w:r>
      <w:r w:rsidR="00862A58">
        <w:t xml:space="preserve"> procedures </w:t>
      </w:r>
      <w:r w:rsidR="0000508B">
        <w:t>are</w:t>
      </w:r>
      <w:r w:rsidR="00862A58">
        <w:t xml:space="preserve"> </w:t>
      </w:r>
      <w:r w:rsidR="0000508B">
        <w:t>regularly reviewed and updated</w:t>
      </w:r>
      <w:r w:rsidR="00862A58">
        <w:t xml:space="preserve"> to ensure the accuracy of information</w:t>
      </w:r>
      <w:r w:rsidR="00E41BCB">
        <w:t>;</w:t>
      </w:r>
      <w:r w:rsidR="00B435A5">
        <w:t xml:space="preserve"> electronic and hard copies are distributed to all employees</w:t>
      </w:r>
      <w:r w:rsidR="00862A58">
        <w:t xml:space="preserve">.  </w:t>
      </w:r>
      <w:r w:rsidR="0000508B">
        <w:t xml:space="preserve"> </w:t>
      </w:r>
      <w:r w:rsidR="002B0FA8">
        <w:t xml:space="preserve">The procedures should be designed to provide clear, concise and essential directions for recovering from interruption of normal business operations.  </w:t>
      </w:r>
      <w:r w:rsidR="000F25A6">
        <w:t xml:space="preserve">The primary areas of focus for such </w:t>
      </w:r>
      <w:r w:rsidR="00E41BCB">
        <w:t xml:space="preserve">board-approved </w:t>
      </w:r>
      <w:r w:rsidR="000F25A6">
        <w:t>procedures are:  communication, relocation</w:t>
      </w:r>
      <w:r w:rsidR="00B435A5">
        <w:t xml:space="preserve"> and data recovery</w:t>
      </w:r>
      <w:r w:rsidR="000F25A6">
        <w:t xml:space="preserve">.  </w:t>
      </w:r>
    </w:p>
    <w:p w:rsidR="000F25A6" w:rsidRDefault="000F25A6" w:rsidP="0000508B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25A6" w:rsidTr="000F126A">
        <w:tc>
          <w:tcPr>
            <w:tcW w:w="9350" w:type="dxa"/>
            <w:gridSpan w:val="2"/>
            <w:shd w:val="clear" w:color="auto" w:fill="FBE4D5" w:themeFill="accent2" w:themeFillTint="33"/>
          </w:tcPr>
          <w:p w:rsidR="000F25A6" w:rsidRPr="000F25A6" w:rsidRDefault="000F25A6" w:rsidP="0000508B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Communication</w:t>
            </w:r>
          </w:p>
        </w:tc>
      </w:tr>
      <w:tr w:rsidR="000F25A6" w:rsidTr="000F25A6">
        <w:tc>
          <w:tcPr>
            <w:tcW w:w="4675" w:type="dxa"/>
          </w:tcPr>
          <w:p w:rsidR="000F25A6" w:rsidRDefault="000F25A6" w:rsidP="00852338">
            <w:pPr>
              <w:pStyle w:val="NoSpacing"/>
              <w:jc w:val="both"/>
            </w:pPr>
            <w:r>
              <w:t>Employees</w:t>
            </w:r>
            <w:r w:rsidR="00852338">
              <w:t xml:space="preserve"> –</w:t>
            </w:r>
            <w:r w:rsidR="008E4EA0">
              <w:t xml:space="preserve"> Establish who is responsible for contacting employees and prioritize methods of communication:</w:t>
            </w:r>
          </w:p>
          <w:p w:rsidR="008E4EA0" w:rsidRDefault="008E4EA0" w:rsidP="008E4EA0">
            <w:pPr>
              <w:pStyle w:val="NoSpacing"/>
              <w:numPr>
                <w:ilvl w:val="0"/>
                <w:numId w:val="1"/>
              </w:numPr>
              <w:jc w:val="both"/>
            </w:pPr>
            <w:r>
              <w:t>Telephone</w:t>
            </w:r>
          </w:p>
          <w:p w:rsidR="008E4EA0" w:rsidRDefault="008E4EA0" w:rsidP="008E4EA0">
            <w:pPr>
              <w:pStyle w:val="NoSpacing"/>
              <w:numPr>
                <w:ilvl w:val="0"/>
                <w:numId w:val="1"/>
              </w:numPr>
              <w:jc w:val="both"/>
            </w:pPr>
            <w:r>
              <w:t>Text</w:t>
            </w:r>
          </w:p>
          <w:p w:rsidR="008E4EA0" w:rsidRDefault="008E4EA0" w:rsidP="008E4EA0">
            <w:pPr>
              <w:pStyle w:val="NoSpacing"/>
              <w:numPr>
                <w:ilvl w:val="0"/>
                <w:numId w:val="1"/>
              </w:numPr>
              <w:jc w:val="both"/>
            </w:pPr>
            <w:r>
              <w:t>Email</w:t>
            </w:r>
          </w:p>
          <w:p w:rsidR="008E4EA0" w:rsidRDefault="008E4EA0" w:rsidP="008E4EA0">
            <w:pPr>
              <w:pStyle w:val="NoSpacing"/>
              <w:numPr>
                <w:ilvl w:val="0"/>
                <w:numId w:val="1"/>
              </w:numPr>
              <w:jc w:val="both"/>
            </w:pPr>
            <w:r>
              <w:t>Facebook</w:t>
            </w:r>
          </w:p>
          <w:p w:rsidR="008E4EA0" w:rsidRDefault="008E4EA0" w:rsidP="008E4EA0">
            <w:pPr>
              <w:pStyle w:val="NoSpacing"/>
              <w:numPr>
                <w:ilvl w:val="0"/>
                <w:numId w:val="1"/>
              </w:numPr>
              <w:jc w:val="both"/>
            </w:pPr>
            <w:r>
              <w:t>Twitter</w:t>
            </w:r>
          </w:p>
        </w:tc>
        <w:tc>
          <w:tcPr>
            <w:tcW w:w="4675" w:type="dxa"/>
          </w:tcPr>
          <w:p w:rsidR="00B435A5" w:rsidRDefault="00B435A5" w:rsidP="00B435A5">
            <w:pPr>
              <w:pStyle w:val="NoSpacing"/>
              <w:jc w:val="both"/>
            </w:pPr>
            <w:r>
              <w:t>Maintain list of all current contact information including land line, mobile devices, email addresses</w:t>
            </w:r>
            <w:r w:rsidR="00A353D3">
              <w:t xml:space="preserve"> (work and persona)</w:t>
            </w:r>
            <w:r>
              <w:t>, Facebook and Twitter accounts.</w:t>
            </w:r>
          </w:p>
          <w:p w:rsidR="00B435A5" w:rsidRDefault="00B435A5" w:rsidP="00B435A5">
            <w:pPr>
              <w:pStyle w:val="NoSpacing"/>
              <w:jc w:val="both"/>
            </w:pPr>
          </w:p>
          <w:p w:rsidR="00B435A5" w:rsidRDefault="00B435A5" w:rsidP="00B435A5">
            <w:pPr>
              <w:pStyle w:val="NoSpacing"/>
              <w:jc w:val="both"/>
            </w:pPr>
            <w:r>
              <w:t>Ensure list is readily retrievable in case of emergency.</w:t>
            </w:r>
          </w:p>
          <w:p w:rsidR="00852338" w:rsidRDefault="00852338" w:rsidP="00B435A5">
            <w:pPr>
              <w:pStyle w:val="NoSpacing"/>
              <w:jc w:val="both"/>
            </w:pPr>
          </w:p>
        </w:tc>
      </w:tr>
      <w:tr w:rsidR="000F25A6" w:rsidTr="000F25A6">
        <w:tc>
          <w:tcPr>
            <w:tcW w:w="4675" w:type="dxa"/>
          </w:tcPr>
          <w:p w:rsidR="000F25A6" w:rsidRDefault="008E4EA0" w:rsidP="0000508B">
            <w:pPr>
              <w:pStyle w:val="NoSpacing"/>
              <w:jc w:val="both"/>
            </w:pPr>
            <w:r>
              <w:t>Board Members – Establish who is responsible for contacting board members and prioritize methods of communication:</w:t>
            </w:r>
          </w:p>
          <w:p w:rsidR="008E4EA0" w:rsidRDefault="008E4EA0" w:rsidP="008E4EA0">
            <w:pPr>
              <w:pStyle w:val="NoSpacing"/>
              <w:numPr>
                <w:ilvl w:val="0"/>
                <w:numId w:val="2"/>
              </w:numPr>
              <w:jc w:val="both"/>
            </w:pPr>
            <w:r>
              <w:t>Telephone</w:t>
            </w:r>
          </w:p>
          <w:p w:rsidR="008E4EA0" w:rsidRDefault="008E4EA0" w:rsidP="008E4EA0">
            <w:pPr>
              <w:pStyle w:val="NoSpacing"/>
              <w:numPr>
                <w:ilvl w:val="0"/>
                <w:numId w:val="2"/>
              </w:numPr>
              <w:jc w:val="both"/>
            </w:pPr>
            <w:r>
              <w:t>Text</w:t>
            </w:r>
          </w:p>
          <w:p w:rsidR="008E4EA0" w:rsidRDefault="008E4EA0" w:rsidP="008E4EA0">
            <w:pPr>
              <w:pStyle w:val="NoSpacing"/>
              <w:numPr>
                <w:ilvl w:val="0"/>
                <w:numId w:val="2"/>
              </w:numPr>
              <w:jc w:val="both"/>
            </w:pPr>
            <w:r>
              <w:t>Email</w:t>
            </w:r>
          </w:p>
          <w:p w:rsidR="008E4EA0" w:rsidRDefault="008E4EA0" w:rsidP="008E4EA0">
            <w:pPr>
              <w:pStyle w:val="NoSpacing"/>
              <w:numPr>
                <w:ilvl w:val="0"/>
                <w:numId w:val="2"/>
              </w:numPr>
              <w:jc w:val="both"/>
            </w:pPr>
            <w:r>
              <w:t>Facebook</w:t>
            </w:r>
          </w:p>
          <w:p w:rsidR="008E4EA0" w:rsidRDefault="008E4EA0" w:rsidP="008E4EA0">
            <w:pPr>
              <w:pStyle w:val="NoSpacing"/>
              <w:numPr>
                <w:ilvl w:val="0"/>
                <w:numId w:val="2"/>
              </w:numPr>
              <w:jc w:val="both"/>
            </w:pPr>
            <w:r>
              <w:t>Twitter</w:t>
            </w:r>
          </w:p>
        </w:tc>
        <w:tc>
          <w:tcPr>
            <w:tcW w:w="4675" w:type="dxa"/>
          </w:tcPr>
          <w:p w:rsidR="008E4EA0" w:rsidRDefault="008E4EA0" w:rsidP="008E4EA0">
            <w:pPr>
              <w:pStyle w:val="NoSpacing"/>
              <w:jc w:val="both"/>
            </w:pPr>
            <w:r>
              <w:t>Maintain list of all current contact information including land line, mobile devices, email address</w:t>
            </w:r>
            <w:r w:rsidR="00B435A5">
              <w:t>es</w:t>
            </w:r>
            <w:r w:rsidR="00A353D3">
              <w:t xml:space="preserve"> (work and personal)</w:t>
            </w:r>
            <w:r w:rsidR="00B435A5">
              <w:t>,</w:t>
            </w:r>
            <w:r>
              <w:t xml:space="preserve"> Facebook and Twitter accounts</w:t>
            </w:r>
          </w:p>
          <w:p w:rsidR="000F25A6" w:rsidRDefault="000F25A6" w:rsidP="0000508B">
            <w:pPr>
              <w:pStyle w:val="NoSpacing"/>
              <w:jc w:val="both"/>
            </w:pPr>
          </w:p>
          <w:p w:rsidR="00B435A5" w:rsidRDefault="00B435A5" w:rsidP="00B435A5">
            <w:pPr>
              <w:pStyle w:val="NoSpacing"/>
              <w:jc w:val="both"/>
            </w:pPr>
            <w:r>
              <w:t>Ensure list is readily retrievable in case of emergency.</w:t>
            </w:r>
          </w:p>
          <w:p w:rsidR="00B435A5" w:rsidRDefault="00B435A5" w:rsidP="0000508B">
            <w:pPr>
              <w:pStyle w:val="NoSpacing"/>
              <w:jc w:val="both"/>
            </w:pPr>
          </w:p>
        </w:tc>
      </w:tr>
      <w:tr w:rsidR="000F25A6" w:rsidTr="006F7014">
        <w:tc>
          <w:tcPr>
            <w:tcW w:w="4675" w:type="dxa"/>
            <w:tcBorders>
              <w:bottom w:val="single" w:sz="4" w:space="0" w:color="auto"/>
            </w:tcBorders>
          </w:tcPr>
          <w:p w:rsidR="000F25A6" w:rsidRDefault="008E4EA0" w:rsidP="0000508B">
            <w:pPr>
              <w:pStyle w:val="NoSpacing"/>
              <w:jc w:val="both"/>
            </w:pPr>
            <w:r>
              <w:t>Determine which key constituents  should be communicated with and by whom, such as:</w:t>
            </w:r>
          </w:p>
          <w:p w:rsidR="008E4EA0" w:rsidRDefault="008E4EA0" w:rsidP="008E4EA0">
            <w:pPr>
              <w:pStyle w:val="NoSpacing"/>
              <w:numPr>
                <w:ilvl w:val="0"/>
                <w:numId w:val="3"/>
              </w:numPr>
              <w:jc w:val="both"/>
            </w:pPr>
            <w:r>
              <w:t>Superintendent of Local School District</w:t>
            </w:r>
          </w:p>
          <w:p w:rsidR="00D9458C" w:rsidRDefault="00D9458C" w:rsidP="008E4EA0">
            <w:pPr>
              <w:pStyle w:val="NoSpacing"/>
              <w:numPr>
                <w:ilvl w:val="0"/>
                <w:numId w:val="3"/>
              </w:numPr>
              <w:jc w:val="both"/>
            </w:pPr>
            <w:r>
              <w:t>School principals</w:t>
            </w:r>
          </w:p>
          <w:p w:rsidR="008E4EA0" w:rsidRDefault="008E4EA0" w:rsidP="008E4EA0">
            <w:pPr>
              <w:pStyle w:val="NoSpacing"/>
              <w:numPr>
                <w:ilvl w:val="0"/>
                <w:numId w:val="3"/>
              </w:numPr>
              <w:jc w:val="both"/>
            </w:pPr>
            <w:r>
              <w:t>City and/or County Manager</w:t>
            </w:r>
          </w:p>
          <w:p w:rsidR="008E4EA0" w:rsidRDefault="008E4EA0" w:rsidP="008E4EA0">
            <w:pPr>
              <w:pStyle w:val="NoSpacing"/>
              <w:numPr>
                <w:ilvl w:val="0"/>
                <w:numId w:val="3"/>
              </w:numPr>
              <w:jc w:val="both"/>
            </w:pPr>
            <w:r>
              <w:t>Chair of City Council and/or County Commissioners</w:t>
            </w:r>
          </w:p>
          <w:p w:rsidR="008E4EA0" w:rsidRDefault="008E4EA0" w:rsidP="008E4EA0">
            <w:pPr>
              <w:pStyle w:val="NoSpacing"/>
              <w:numPr>
                <w:ilvl w:val="0"/>
                <w:numId w:val="3"/>
              </w:numPr>
              <w:jc w:val="both"/>
            </w:pPr>
            <w:r>
              <w:t>CIS of North Carolina</w:t>
            </w:r>
          </w:p>
          <w:p w:rsidR="008E4EA0" w:rsidRDefault="008E4EA0" w:rsidP="008E4EA0">
            <w:pPr>
              <w:pStyle w:val="NoSpacing"/>
              <w:numPr>
                <w:ilvl w:val="0"/>
                <w:numId w:val="3"/>
              </w:numPr>
              <w:jc w:val="both"/>
            </w:pPr>
            <w:r>
              <w:t>Major donor/funders</w:t>
            </w:r>
          </w:p>
          <w:p w:rsidR="008E4EA0" w:rsidRDefault="008E4EA0" w:rsidP="008E4EA0">
            <w:pPr>
              <w:pStyle w:val="NoSpacing"/>
              <w:numPr>
                <w:ilvl w:val="0"/>
                <w:numId w:val="3"/>
              </w:numPr>
              <w:jc w:val="both"/>
            </w:pPr>
            <w:r>
              <w:t>Significant partners</w:t>
            </w:r>
          </w:p>
          <w:p w:rsidR="008E4EA0" w:rsidRDefault="008E4EA0" w:rsidP="008E4EA0">
            <w:pPr>
              <w:pStyle w:val="NoSpacing"/>
              <w:numPr>
                <w:ilvl w:val="0"/>
                <w:numId w:val="3"/>
              </w:numPr>
              <w:jc w:val="both"/>
            </w:pPr>
            <w:r>
              <w:t>Leaders of local civic organizations</w:t>
            </w:r>
          </w:p>
          <w:p w:rsidR="006F7014" w:rsidRDefault="006F7014" w:rsidP="008E4EA0">
            <w:pPr>
              <w:pStyle w:val="NoSpacing"/>
              <w:numPr>
                <w:ilvl w:val="0"/>
                <w:numId w:val="3"/>
              </w:numPr>
              <w:jc w:val="both"/>
            </w:pPr>
            <w:r>
              <w:t>Banks where CIS funds are on deposit</w:t>
            </w:r>
          </w:p>
          <w:p w:rsidR="006F7014" w:rsidRDefault="006A3D45" w:rsidP="008E4EA0">
            <w:pPr>
              <w:pStyle w:val="NoSpacing"/>
              <w:numPr>
                <w:ilvl w:val="0"/>
                <w:numId w:val="3"/>
              </w:numPr>
              <w:jc w:val="both"/>
            </w:pPr>
            <w:r>
              <w:t>Insurance c</w:t>
            </w:r>
            <w:r w:rsidR="006F7014">
              <w:t>ompany</w:t>
            </w:r>
            <w:r>
              <w:t>/companies</w:t>
            </w:r>
          </w:p>
          <w:p w:rsidR="006F7014" w:rsidRDefault="006F7014" w:rsidP="008E4EA0">
            <w:pPr>
              <w:pStyle w:val="NoSpacing"/>
              <w:numPr>
                <w:ilvl w:val="0"/>
                <w:numId w:val="3"/>
              </w:numPr>
              <w:jc w:val="both"/>
            </w:pPr>
            <w:r>
              <w:t>Vendors &amp; suppliers</w:t>
            </w:r>
          </w:p>
          <w:p w:rsidR="006F7014" w:rsidRDefault="006F7014" w:rsidP="008E4EA0">
            <w:pPr>
              <w:pStyle w:val="NoSpacing"/>
              <w:numPr>
                <w:ilvl w:val="0"/>
                <w:numId w:val="3"/>
              </w:numPr>
              <w:jc w:val="both"/>
            </w:pPr>
            <w:r>
              <w:t>Payroll Service Provider</w:t>
            </w:r>
          </w:p>
          <w:p w:rsidR="006A3D45" w:rsidRDefault="006A3D45" w:rsidP="008E4EA0">
            <w:pPr>
              <w:pStyle w:val="NoSpacing"/>
              <w:numPr>
                <w:ilvl w:val="0"/>
                <w:numId w:val="3"/>
              </w:numPr>
              <w:jc w:val="both"/>
            </w:pPr>
            <w:r>
              <w:t>Local media</w:t>
            </w:r>
          </w:p>
          <w:p w:rsidR="00D9458C" w:rsidRDefault="00D9458C" w:rsidP="008E4EA0">
            <w:pPr>
              <w:pStyle w:val="NoSpacing"/>
              <w:numPr>
                <w:ilvl w:val="0"/>
                <w:numId w:val="3"/>
              </w:numPr>
              <w:jc w:val="both"/>
            </w:pPr>
            <w:r>
              <w:t>Volunteers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8E4EA0" w:rsidRDefault="008E4EA0" w:rsidP="008E4EA0">
            <w:pPr>
              <w:pStyle w:val="NoSpacing"/>
              <w:jc w:val="both"/>
            </w:pPr>
            <w:r>
              <w:t>Maintain list of all current contact information including land line, mobile devices, email address</w:t>
            </w:r>
            <w:r w:rsidR="00B435A5">
              <w:t xml:space="preserve">es, </w:t>
            </w:r>
            <w:r>
              <w:t>Facebook and Twitter accounts</w:t>
            </w:r>
          </w:p>
          <w:p w:rsidR="000F25A6" w:rsidRDefault="000F25A6" w:rsidP="0000508B">
            <w:pPr>
              <w:pStyle w:val="NoSpacing"/>
              <w:jc w:val="both"/>
            </w:pPr>
          </w:p>
          <w:p w:rsidR="00B435A5" w:rsidRDefault="00B435A5" w:rsidP="00B435A5">
            <w:pPr>
              <w:pStyle w:val="NoSpacing"/>
              <w:jc w:val="both"/>
            </w:pPr>
            <w:r>
              <w:t>Ensure list is readily retrievable in case of emergency.</w:t>
            </w:r>
          </w:p>
          <w:p w:rsidR="00B435A5" w:rsidRDefault="00B435A5" w:rsidP="0000508B">
            <w:pPr>
              <w:pStyle w:val="NoSpacing"/>
              <w:jc w:val="both"/>
            </w:pPr>
          </w:p>
          <w:p w:rsidR="002B0FA8" w:rsidRDefault="002B0FA8" w:rsidP="0000508B">
            <w:pPr>
              <w:pStyle w:val="NoSpacing"/>
              <w:jc w:val="both"/>
            </w:pPr>
            <w:r>
              <w:t>Designate a point of contact for local media</w:t>
            </w:r>
          </w:p>
          <w:p w:rsidR="00D9458C" w:rsidRDefault="00D9458C" w:rsidP="0000508B">
            <w:pPr>
              <w:pStyle w:val="NoSpacing"/>
              <w:jc w:val="both"/>
            </w:pPr>
          </w:p>
          <w:p w:rsidR="00D9458C" w:rsidRDefault="00D9458C" w:rsidP="0000508B">
            <w:pPr>
              <w:pStyle w:val="NoSpacing"/>
              <w:jc w:val="both"/>
            </w:pPr>
            <w:r>
              <w:t>Leadership develops messaging and consistent messaging is delivered to all constituents</w:t>
            </w:r>
          </w:p>
        </w:tc>
      </w:tr>
      <w:tr w:rsidR="000F126A" w:rsidTr="006F7014">
        <w:tc>
          <w:tcPr>
            <w:tcW w:w="4675" w:type="dxa"/>
            <w:tcBorders>
              <w:bottom w:val="single" w:sz="4" w:space="0" w:color="auto"/>
            </w:tcBorders>
          </w:tcPr>
          <w:p w:rsidR="000F126A" w:rsidRDefault="000F126A" w:rsidP="000F126A">
            <w:pPr>
              <w:pStyle w:val="NoSpacing"/>
              <w:jc w:val="both"/>
            </w:pPr>
            <w:r>
              <w:lastRenderedPageBreak/>
              <w:t>Telephone System:</w:t>
            </w:r>
          </w:p>
          <w:p w:rsidR="000F126A" w:rsidRDefault="000F126A" w:rsidP="000F126A">
            <w:pPr>
              <w:pStyle w:val="NoSpacing"/>
              <w:numPr>
                <w:ilvl w:val="0"/>
                <w:numId w:val="7"/>
              </w:numPr>
              <w:jc w:val="both"/>
            </w:pPr>
            <w:r>
              <w:t>Change voice mail messages to relay the temporary location and telephone numbers where employees may be reached</w:t>
            </w:r>
          </w:p>
          <w:p w:rsidR="000F126A" w:rsidRDefault="000F126A" w:rsidP="000F126A">
            <w:pPr>
              <w:pStyle w:val="NoSpacing"/>
              <w:numPr>
                <w:ilvl w:val="0"/>
                <w:numId w:val="7"/>
              </w:numPr>
              <w:jc w:val="both"/>
            </w:pPr>
            <w:r>
              <w:t>Arrange to have phone calls forwarded to  the new temporary telephone number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0F126A" w:rsidRDefault="000F126A" w:rsidP="008E4EA0">
            <w:pPr>
              <w:pStyle w:val="NoSpacing"/>
              <w:jc w:val="both"/>
            </w:pPr>
          </w:p>
        </w:tc>
      </w:tr>
      <w:tr w:rsidR="006A3D45" w:rsidTr="006F7014">
        <w:tc>
          <w:tcPr>
            <w:tcW w:w="4675" w:type="dxa"/>
            <w:tcBorders>
              <w:bottom w:val="single" w:sz="4" w:space="0" w:color="auto"/>
            </w:tcBorders>
          </w:tcPr>
          <w:p w:rsidR="006A3D45" w:rsidRDefault="006A3D45" w:rsidP="000F126A">
            <w:pPr>
              <w:pStyle w:val="NoSpacing"/>
              <w:jc w:val="both"/>
            </w:pPr>
            <w:r>
              <w:t>Prepare a list of emergency phone numbers and web site addresses to include:</w:t>
            </w:r>
          </w:p>
          <w:p w:rsidR="006A3D45" w:rsidRDefault="006A3D45" w:rsidP="006A3D45">
            <w:pPr>
              <w:pStyle w:val="NoSpacing"/>
              <w:numPr>
                <w:ilvl w:val="0"/>
                <w:numId w:val="8"/>
              </w:numPr>
              <w:jc w:val="both"/>
            </w:pPr>
            <w:r>
              <w:t>Emergency services – police, fire, ambulance</w:t>
            </w:r>
          </w:p>
          <w:p w:rsidR="006A3D45" w:rsidRDefault="006A3D45" w:rsidP="006A3D45">
            <w:pPr>
              <w:pStyle w:val="NoSpacing"/>
              <w:numPr>
                <w:ilvl w:val="0"/>
                <w:numId w:val="8"/>
              </w:numPr>
              <w:jc w:val="both"/>
            </w:pPr>
            <w:r>
              <w:t>Communications providers</w:t>
            </w:r>
          </w:p>
          <w:p w:rsidR="006A3D45" w:rsidRDefault="006A3D45" w:rsidP="006A3D45">
            <w:pPr>
              <w:pStyle w:val="NoSpacing"/>
              <w:numPr>
                <w:ilvl w:val="0"/>
                <w:numId w:val="8"/>
              </w:numPr>
              <w:jc w:val="both"/>
            </w:pPr>
            <w:r>
              <w:t>Weather information – NOAA, radio stations, television weather channel, weather web site</w:t>
            </w:r>
          </w:p>
          <w:p w:rsidR="006A3D45" w:rsidRDefault="006A3D45" w:rsidP="006A3D45">
            <w:pPr>
              <w:pStyle w:val="NoSpacing"/>
              <w:numPr>
                <w:ilvl w:val="0"/>
                <w:numId w:val="8"/>
              </w:numPr>
              <w:jc w:val="both"/>
            </w:pPr>
            <w:r>
              <w:t>Maintenance and repairs – janitorial, HVAC, electrical, plumber, carpentry</w:t>
            </w:r>
          </w:p>
          <w:p w:rsidR="006A3D45" w:rsidRDefault="006A3D45" w:rsidP="006A3D45">
            <w:pPr>
              <w:pStyle w:val="NoSpacing"/>
              <w:numPr>
                <w:ilvl w:val="0"/>
                <w:numId w:val="8"/>
              </w:numPr>
              <w:jc w:val="both"/>
            </w:pPr>
            <w:r>
              <w:t>IT services – hardware, software, network equipment</w:t>
            </w:r>
          </w:p>
          <w:p w:rsidR="006A3D45" w:rsidRDefault="006A3D45" w:rsidP="006A3D45">
            <w:pPr>
              <w:pStyle w:val="NoSpacing"/>
              <w:numPr>
                <w:ilvl w:val="0"/>
                <w:numId w:val="8"/>
              </w:numPr>
              <w:jc w:val="both"/>
            </w:pPr>
            <w:r>
              <w:t>Utilities – electrical, gas, water, sewer, sanitation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6A3D45" w:rsidRDefault="006A3D45" w:rsidP="008E4EA0">
            <w:pPr>
              <w:pStyle w:val="NoSpacing"/>
              <w:jc w:val="both"/>
            </w:pPr>
          </w:p>
        </w:tc>
      </w:tr>
      <w:tr w:rsidR="008E4EA0" w:rsidTr="006F7014">
        <w:tc>
          <w:tcPr>
            <w:tcW w:w="9350" w:type="dxa"/>
            <w:gridSpan w:val="2"/>
            <w:shd w:val="clear" w:color="auto" w:fill="FBE4D5" w:themeFill="accent2" w:themeFillTint="33"/>
          </w:tcPr>
          <w:p w:rsidR="008E4EA0" w:rsidRPr="007C3B1B" w:rsidRDefault="007C3B1B" w:rsidP="0000508B">
            <w:pPr>
              <w:pStyle w:val="NoSpacing"/>
              <w:jc w:val="both"/>
            </w:pPr>
            <w:r>
              <w:rPr>
                <w:b/>
              </w:rPr>
              <w:t>Relocation</w:t>
            </w:r>
          </w:p>
        </w:tc>
      </w:tr>
      <w:tr w:rsidR="000F25A6" w:rsidTr="000F25A6">
        <w:tc>
          <w:tcPr>
            <w:tcW w:w="4675" w:type="dxa"/>
          </w:tcPr>
          <w:p w:rsidR="000F25A6" w:rsidRDefault="007C3B1B" w:rsidP="007C3B1B">
            <w:pPr>
              <w:pStyle w:val="NoSpacing"/>
              <w:jc w:val="both"/>
            </w:pPr>
            <w:r>
              <w:t>Designate emergency meeting location away from administrative office so all employees will know where to report in case of disaster</w:t>
            </w:r>
            <w:r w:rsidR="00A353D3">
              <w:t xml:space="preserve">. </w:t>
            </w:r>
            <w:r w:rsidR="006F7014">
              <w:t xml:space="preserve"> </w:t>
            </w:r>
            <w:r w:rsidR="00A353D3">
              <w:t>Designate first and second choices that are likely to have wireless internet service.</w:t>
            </w:r>
            <w:r w:rsidR="00CB6DE1">
              <w:t xml:space="preserve">  Make sure all employees are aware of the location and how to get there.  This predetermined meeting place will serve as a location to plan your response to the incident.</w:t>
            </w:r>
          </w:p>
        </w:tc>
        <w:tc>
          <w:tcPr>
            <w:tcW w:w="4675" w:type="dxa"/>
          </w:tcPr>
          <w:p w:rsidR="000F25A6" w:rsidRDefault="00A353D3" w:rsidP="0000508B">
            <w:pPr>
              <w:pStyle w:val="NoSpacing"/>
              <w:jc w:val="both"/>
            </w:pPr>
            <w:r>
              <w:t xml:space="preserve">Options </w:t>
            </w:r>
            <w:r w:rsidR="006F7014">
              <w:t xml:space="preserve">to consider: </w:t>
            </w:r>
          </w:p>
          <w:p w:rsidR="006F7014" w:rsidRDefault="006F7014" w:rsidP="006F7014">
            <w:pPr>
              <w:pStyle w:val="NoSpacing"/>
              <w:numPr>
                <w:ilvl w:val="0"/>
                <w:numId w:val="6"/>
              </w:numPr>
              <w:jc w:val="both"/>
            </w:pPr>
            <w:r>
              <w:t>Restaurant</w:t>
            </w:r>
          </w:p>
          <w:p w:rsidR="006F7014" w:rsidRDefault="006F7014" w:rsidP="006F7014">
            <w:pPr>
              <w:pStyle w:val="NoSpacing"/>
              <w:numPr>
                <w:ilvl w:val="0"/>
                <w:numId w:val="6"/>
              </w:numPr>
              <w:jc w:val="both"/>
            </w:pPr>
            <w:r>
              <w:t>Coffee Shop</w:t>
            </w:r>
          </w:p>
          <w:p w:rsidR="006F7014" w:rsidRDefault="006F7014" w:rsidP="006F7014">
            <w:pPr>
              <w:pStyle w:val="NoSpacing"/>
              <w:numPr>
                <w:ilvl w:val="0"/>
                <w:numId w:val="6"/>
              </w:numPr>
              <w:jc w:val="both"/>
            </w:pPr>
            <w:r>
              <w:t>Public Library</w:t>
            </w:r>
          </w:p>
          <w:p w:rsidR="006F7014" w:rsidRDefault="006F7014" w:rsidP="006F7014">
            <w:pPr>
              <w:pStyle w:val="NoSpacing"/>
              <w:numPr>
                <w:ilvl w:val="0"/>
                <w:numId w:val="6"/>
              </w:numPr>
              <w:jc w:val="both"/>
            </w:pPr>
            <w:r>
              <w:t>United Way office</w:t>
            </w:r>
          </w:p>
          <w:p w:rsidR="00A353D3" w:rsidRDefault="006F7014" w:rsidP="006F7014">
            <w:pPr>
              <w:pStyle w:val="NoSpacing"/>
              <w:numPr>
                <w:ilvl w:val="0"/>
                <w:numId w:val="6"/>
              </w:numPr>
              <w:jc w:val="both"/>
            </w:pPr>
            <w:r>
              <w:t>Chamber of Commerce</w:t>
            </w:r>
          </w:p>
        </w:tc>
      </w:tr>
      <w:tr w:rsidR="000F25A6" w:rsidTr="006F7014">
        <w:tc>
          <w:tcPr>
            <w:tcW w:w="4675" w:type="dxa"/>
            <w:tcBorders>
              <w:bottom w:val="single" w:sz="4" w:space="0" w:color="auto"/>
            </w:tcBorders>
          </w:tcPr>
          <w:p w:rsidR="000F25A6" w:rsidRDefault="007C3B1B" w:rsidP="00D9458C">
            <w:pPr>
              <w:pStyle w:val="NoSpacing"/>
              <w:jc w:val="both"/>
            </w:pPr>
            <w:r>
              <w:t>Explore options for temporarily relocating operations</w:t>
            </w:r>
            <w:r w:rsidR="00B435A5">
              <w:t xml:space="preserve"> to a safe and secure</w:t>
            </w:r>
            <w:r>
              <w:t xml:space="preserve"> alternate work site wit</w:t>
            </w:r>
            <w:r w:rsidR="00B435A5">
              <w:t xml:space="preserve">h adequate </w:t>
            </w:r>
            <w:r w:rsidR="00D9458C">
              <w:t xml:space="preserve">work space and </w:t>
            </w:r>
            <w:r w:rsidR="00B435A5">
              <w:t>communication capabilities</w:t>
            </w:r>
            <w:r>
              <w:t>.  Designate first and second choices.</w:t>
            </w:r>
            <w:r w:rsidR="006F7014">
              <w:t xml:space="preserve">  Consider reciprocal arrangements with others.</w:t>
            </w:r>
            <w:r w:rsidR="00D9458C">
              <w:t xml:space="preserve">  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7C3B1B" w:rsidRDefault="007C3B1B" w:rsidP="007C3B1B">
            <w:pPr>
              <w:pStyle w:val="NoSpacing"/>
              <w:jc w:val="both"/>
            </w:pPr>
            <w:r>
              <w:t>Options to explore:</w:t>
            </w:r>
          </w:p>
          <w:p w:rsidR="007C3B1B" w:rsidRDefault="007C3B1B" w:rsidP="007C3B1B">
            <w:pPr>
              <w:pStyle w:val="NoSpacing"/>
              <w:numPr>
                <w:ilvl w:val="0"/>
                <w:numId w:val="5"/>
              </w:numPr>
              <w:jc w:val="both"/>
            </w:pPr>
            <w:r>
              <w:t>Share space with another nonprofit</w:t>
            </w:r>
          </w:p>
          <w:p w:rsidR="007C3B1B" w:rsidRDefault="007C3B1B" w:rsidP="007C3B1B">
            <w:pPr>
              <w:pStyle w:val="NoSpacing"/>
              <w:numPr>
                <w:ilvl w:val="0"/>
                <w:numId w:val="5"/>
              </w:numPr>
              <w:jc w:val="both"/>
            </w:pPr>
            <w:r>
              <w:t>Space at board member’s workplace</w:t>
            </w:r>
          </w:p>
          <w:p w:rsidR="007C3B1B" w:rsidRDefault="007C3B1B" w:rsidP="007C3B1B">
            <w:pPr>
              <w:pStyle w:val="NoSpacing"/>
              <w:numPr>
                <w:ilvl w:val="0"/>
                <w:numId w:val="5"/>
              </w:numPr>
              <w:jc w:val="both"/>
            </w:pPr>
            <w:r>
              <w:t>Nearby CIS affiliate</w:t>
            </w:r>
          </w:p>
          <w:p w:rsidR="007C3B1B" w:rsidRDefault="007C3B1B" w:rsidP="007C3B1B">
            <w:pPr>
              <w:pStyle w:val="NoSpacing"/>
              <w:numPr>
                <w:ilvl w:val="0"/>
                <w:numId w:val="5"/>
              </w:numPr>
              <w:jc w:val="both"/>
            </w:pPr>
            <w:r>
              <w:t>Newly rented space</w:t>
            </w:r>
          </w:p>
          <w:p w:rsidR="007C3B1B" w:rsidRDefault="007C3B1B" w:rsidP="007C3B1B">
            <w:pPr>
              <w:pStyle w:val="NoSpacing"/>
              <w:numPr>
                <w:ilvl w:val="0"/>
                <w:numId w:val="5"/>
              </w:numPr>
              <w:jc w:val="both"/>
            </w:pPr>
            <w:r>
              <w:t>Work from home</w:t>
            </w:r>
          </w:p>
        </w:tc>
      </w:tr>
      <w:tr w:rsidR="00E41BCB" w:rsidTr="006F7014">
        <w:tc>
          <w:tcPr>
            <w:tcW w:w="9350" w:type="dxa"/>
            <w:gridSpan w:val="2"/>
            <w:shd w:val="clear" w:color="auto" w:fill="FBE4D5" w:themeFill="accent2" w:themeFillTint="33"/>
          </w:tcPr>
          <w:p w:rsidR="00E41BCB" w:rsidRPr="00E41BCB" w:rsidRDefault="00E41BCB" w:rsidP="0000508B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Data Recovery</w:t>
            </w:r>
          </w:p>
        </w:tc>
      </w:tr>
      <w:tr w:rsidR="000F25A6" w:rsidTr="000F25A6">
        <w:tc>
          <w:tcPr>
            <w:tcW w:w="4675" w:type="dxa"/>
          </w:tcPr>
          <w:p w:rsidR="00CB6DE1" w:rsidRDefault="00CB6DE1" w:rsidP="00CB6DE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key to rapid access and retrieval of important </w:t>
            </w:r>
            <w:r w:rsidRPr="00CB6DE1">
              <w:rPr>
                <w:rFonts w:asciiTheme="minorHAnsi" w:hAnsiTheme="minorHAnsi"/>
                <w:sz w:val="22"/>
                <w:szCs w:val="22"/>
              </w:rPr>
              <w:t xml:space="preserve">organizational data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from a remote location is </w:t>
            </w:r>
            <w:r w:rsidRPr="00CB6DE1">
              <w:rPr>
                <w:rFonts w:asciiTheme="minorHAnsi" w:hAnsiTheme="minorHAnsi"/>
                <w:sz w:val="22"/>
                <w:szCs w:val="22"/>
              </w:rPr>
              <w:t xml:space="preserve">developing a sound strategy before a crisis arises. </w:t>
            </w:r>
            <w:r>
              <w:rPr>
                <w:rFonts w:asciiTheme="minorHAnsi" w:hAnsiTheme="minorHAnsi"/>
                <w:sz w:val="22"/>
                <w:szCs w:val="22"/>
              </w:rPr>
              <w:t>There are two options worth exploring</w:t>
            </w:r>
            <w:r w:rsidR="00B81070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B81070" w:rsidRPr="00B81070" w:rsidRDefault="00B81070" w:rsidP="00CB6DE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All data is backed up </w:t>
            </w:r>
            <w:r w:rsidR="00CA0C82">
              <w:rPr>
                <w:rFonts w:ascii="Calibri" w:hAnsi="Calibri"/>
                <w:sz w:val="22"/>
                <w:szCs w:val="22"/>
              </w:rPr>
              <w:t xml:space="preserve">through a commercial online backup service, storing data in the cloud. </w:t>
            </w:r>
          </w:p>
          <w:p w:rsidR="000F25A6" w:rsidRDefault="00CB6DE1" w:rsidP="00E251F2">
            <w:pPr>
              <w:pStyle w:val="ListParagraph"/>
              <w:numPr>
                <w:ilvl w:val="0"/>
                <w:numId w:val="9"/>
              </w:numPr>
              <w:jc w:val="both"/>
            </w:pPr>
            <w:r w:rsidRPr="00CB6DE1">
              <w:rPr>
                <w:rFonts w:asciiTheme="minorHAnsi" w:hAnsiTheme="minorHAnsi"/>
                <w:sz w:val="22"/>
                <w:szCs w:val="22"/>
              </w:rPr>
              <w:t xml:space="preserve">A back-up of essential files </w:t>
            </w:r>
            <w:r w:rsidR="00CA0C82">
              <w:rPr>
                <w:rFonts w:asciiTheme="minorHAnsi" w:hAnsiTheme="minorHAnsi"/>
                <w:sz w:val="22"/>
                <w:szCs w:val="22"/>
              </w:rPr>
              <w:t>is</w:t>
            </w:r>
            <w:r w:rsidRPr="00CB6DE1">
              <w:rPr>
                <w:rFonts w:asciiTheme="minorHAnsi" w:hAnsiTheme="minorHAnsi"/>
                <w:sz w:val="22"/>
                <w:szCs w:val="22"/>
              </w:rPr>
              <w:t xml:space="preserve"> made weekly and placed in a secure location away from the CIS administrative office.  The backed </w:t>
            </w:r>
            <w:r w:rsidRPr="00CB6DE1">
              <w:rPr>
                <w:rFonts w:asciiTheme="minorHAnsi" w:hAnsiTheme="minorHAnsi"/>
                <w:sz w:val="22"/>
                <w:szCs w:val="22"/>
              </w:rPr>
              <w:lastRenderedPageBreak/>
              <w:t>up</w:t>
            </w:r>
            <w:r w:rsidRPr="00CB6DE1">
              <w:rPr>
                <w:rFonts w:ascii="Calibri" w:hAnsi="Calibri"/>
                <w:sz w:val="22"/>
                <w:szCs w:val="22"/>
              </w:rPr>
              <w:t xml:space="preserve"> files </w:t>
            </w:r>
            <w:r w:rsidR="00CA0C82">
              <w:rPr>
                <w:rFonts w:ascii="Calibri" w:hAnsi="Calibri"/>
                <w:sz w:val="22"/>
                <w:szCs w:val="22"/>
              </w:rPr>
              <w:t>are</w:t>
            </w:r>
            <w:r w:rsidRPr="00CB6DE1">
              <w:rPr>
                <w:rFonts w:ascii="Calibri" w:hAnsi="Calibri"/>
                <w:sz w:val="22"/>
                <w:szCs w:val="22"/>
              </w:rPr>
              <w:t xml:space="preserve"> checked periodically to make sure viable back-ups are made.  Should a loss of files occur, </w:t>
            </w:r>
            <w:r w:rsidR="00B81070">
              <w:rPr>
                <w:rFonts w:ascii="Calibri" w:hAnsi="Calibri"/>
                <w:sz w:val="22"/>
                <w:szCs w:val="22"/>
              </w:rPr>
              <w:t xml:space="preserve">or the on-site data cannot be accessed, </w:t>
            </w:r>
            <w:r w:rsidRPr="00CB6DE1">
              <w:rPr>
                <w:rFonts w:ascii="Calibri" w:hAnsi="Calibri"/>
                <w:sz w:val="22"/>
                <w:szCs w:val="22"/>
              </w:rPr>
              <w:t>documents c</w:t>
            </w:r>
            <w:r w:rsidR="00CA0C82">
              <w:rPr>
                <w:rFonts w:ascii="Calibri" w:hAnsi="Calibri"/>
                <w:sz w:val="22"/>
                <w:szCs w:val="22"/>
              </w:rPr>
              <w:t>an be restored from the most rec</w:t>
            </w:r>
            <w:r w:rsidRPr="00CB6DE1">
              <w:rPr>
                <w:rFonts w:ascii="Calibri" w:hAnsi="Calibri"/>
                <w:sz w:val="22"/>
                <w:szCs w:val="22"/>
              </w:rPr>
              <w:t>ent back-up file.</w:t>
            </w:r>
            <w:r>
              <w:t xml:space="preserve"> </w:t>
            </w:r>
          </w:p>
        </w:tc>
        <w:tc>
          <w:tcPr>
            <w:tcW w:w="4675" w:type="dxa"/>
          </w:tcPr>
          <w:p w:rsidR="000F25A6" w:rsidRDefault="000F25A6" w:rsidP="0000508B">
            <w:pPr>
              <w:pStyle w:val="NoSpacing"/>
              <w:jc w:val="both"/>
            </w:pPr>
          </w:p>
        </w:tc>
      </w:tr>
      <w:tr w:rsidR="000F25A6" w:rsidTr="000F25A6">
        <w:tc>
          <w:tcPr>
            <w:tcW w:w="4675" w:type="dxa"/>
          </w:tcPr>
          <w:p w:rsidR="000F25A6" w:rsidRDefault="009245B1" w:rsidP="009245B1">
            <w:pPr>
              <w:pStyle w:val="NoSpacing"/>
              <w:jc w:val="both"/>
            </w:pPr>
            <w:r>
              <w:t>Some critical documents may be paper-based and converting them to an electr</w:t>
            </w:r>
            <w:r w:rsidR="0088790D">
              <w:t>onic format is a sound practice.</w:t>
            </w:r>
            <w:r>
              <w:t xml:space="preserve">  Scanning these to create digital images to store electronically will ensure these documents can be accessed from remote locations. These documents could include: </w:t>
            </w:r>
          </w:p>
          <w:p w:rsidR="009245B1" w:rsidRDefault="009245B1" w:rsidP="009245B1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Contracts</w:t>
            </w:r>
          </w:p>
          <w:p w:rsidR="009245B1" w:rsidRDefault="009245B1" w:rsidP="009245B1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Insurance documents</w:t>
            </w:r>
          </w:p>
          <w:p w:rsidR="009245B1" w:rsidRDefault="009245B1" w:rsidP="009245B1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Donor information</w:t>
            </w:r>
          </w:p>
          <w:p w:rsidR="009245B1" w:rsidRDefault="009245B1" w:rsidP="009245B1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Employee files</w:t>
            </w:r>
          </w:p>
          <w:p w:rsidR="009245B1" w:rsidRDefault="009245B1" w:rsidP="009245B1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IRS Determination Letter</w:t>
            </w:r>
          </w:p>
          <w:p w:rsidR="009245B1" w:rsidRDefault="009245B1" w:rsidP="009245B1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Articles of Incorporation</w:t>
            </w:r>
          </w:p>
          <w:p w:rsidR="009245B1" w:rsidRDefault="009245B1" w:rsidP="009245B1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Bylaws</w:t>
            </w:r>
          </w:p>
          <w:p w:rsidR="0088790D" w:rsidRDefault="0088790D" w:rsidP="009245B1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Audit Reports</w:t>
            </w:r>
          </w:p>
          <w:p w:rsidR="0088790D" w:rsidRDefault="0088790D" w:rsidP="009245B1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IRS 990 Tax Returns</w:t>
            </w:r>
          </w:p>
          <w:p w:rsidR="0088790D" w:rsidRDefault="0088790D" w:rsidP="009245B1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Materials of Historical Value</w:t>
            </w:r>
          </w:p>
          <w:p w:rsidR="0088790D" w:rsidRDefault="0088790D" w:rsidP="009245B1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Property Deeds</w:t>
            </w:r>
          </w:p>
        </w:tc>
        <w:tc>
          <w:tcPr>
            <w:tcW w:w="4675" w:type="dxa"/>
          </w:tcPr>
          <w:p w:rsidR="000F25A6" w:rsidRDefault="000F25A6" w:rsidP="0000508B">
            <w:pPr>
              <w:pStyle w:val="NoSpacing"/>
              <w:jc w:val="both"/>
            </w:pPr>
          </w:p>
        </w:tc>
      </w:tr>
    </w:tbl>
    <w:p w:rsidR="000F25A6" w:rsidRDefault="000F25A6" w:rsidP="0000508B">
      <w:pPr>
        <w:pStyle w:val="NoSpacing"/>
        <w:jc w:val="both"/>
      </w:pPr>
    </w:p>
    <w:p w:rsidR="006C579B" w:rsidRDefault="006C579B" w:rsidP="0000508B">
      <w:pPr>
        <w:jc w:val="both"/>
      </w:pPr>
    </w:p>
    <w:p w:rsidR="006C579B" w:rsidRDefault="006C579B"/>
    <w:p w:rsidR="006C579B" w:rsidRDefault="006C579B"/>
    <w:p w:rsidR="0088790D" w:rsidRDefault="0088790D"/>
    <w:p w:rsidR="0088790D" w:rsidRDefault="0088790D"/>
    <w:p w:rsidR="0088790D" w:rsidRDefault="0088790D"/>
    <w:p w:rsidR="0088790D" w:rsidRDefault="0088790D"/>
    <w:p w:rsidR="0088790D" w:rsidRDefault="0088790D"/>
    <w:p w:rsidR="0088790D" w:rsidRDefault="0088790D"/>
    <w:p w:rsidR="0088790D" w:rsidRDefault="0088790D"/>
    <w:p w:rsidR="0088790D" w:rsidRDefault="0088790D"/>
    <w:p w:rsidR="0088790D" w:rsidRDefault="0088790D"/>
    <w:p w:rsidR="0088790D" w:rsidRDefault="0088790D"/>
    <w:p w:rsidR="0088790D" w:rsidRDefault="0088790D"/>
    <w:p w:rsidR="0088790D" w:rsidRDefault="0088790D"/>
    <w:p w:rsidR="0088790D" w:rsidRDefault="0088790D"/>
    <w:p w:rsidR="0088790D" w:rsidRDefault="0088790D"/>
    <w:p w:rsidR="0088790D" w:rsidRDefault="0088790D"/>
    <w:p w:rsidR="0088790D" w:rsidRDefault="0088790D"/>
    <w:p w:rsidR="0088790D" w:rsidRPr="0088790D" w:rsidRDefault="0088790D">
      <w:pPr>
        <w:rPr>
          <w:rFonts w:asciiTheme="minorHAnsi" w:hAnsiTheme="minorHAnsi"/>
          <w:i/>
          <w:sz w:val="18"/>
          <w:szCs w:val="18"/>
        </w:rPr>
      </w:pPr>
      <w:r w:rsidRPr="0088790D">
        <w:rPr>
          <w:rFonts w:asciiTheme="minorHAnsi" w:hAnsiTheme="minorHAnsi"/>
          <w:i/>
          <w:sz w:val="18"/>
          <w:szCs w:val="18"/>
        </w:rPr>
        <w:t>CISNC 2016</w:t>
      </w:r>
    </w:p>
    <w:sectPr w:rsidR="0088790D" w:rsidRPr="00887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A4E" w:rsidRDefault="00323A4E" w:rsidP="0088790D">
      <w:r>
        <w:separator/>
      </w:r>
    </w:p>
  </w:endnote>
  <w:endnote w:type="continuationSeparator" w:id="0">
    <w:p w:rsidR="00323A4E" w:rsidRDefault="00323A4E" w:rsidP="0088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736" w:rsidRDefault="000247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514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790D" w:rsidRDefault="008879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7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790D" w:rsidRDefault="008879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736" w:rsidRDefault="00024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A4E" w:rsidRDefault="00323A4E" w:rsidP="0088790D">
      <w:r>
        <w:separator/>
      </w:r>
    </w:p>
  </w:footnote>
  <w:footnote w:type="continuationSeparator" w:id="0">
    <w:p w:rsidR="00323A4E" w:rsidRDefault="00323A4E" w:rsidP="00887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736" w:rsidRDefault="0002473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401797" o:spid="_x0000_s2050" type="#_x0000_t136" style="position:absolute;margin-left:0;margin-top:0;width:590.4pt;height:69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/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736" w:rsidRDefault="0002473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401798" o:spid="_x0000_s2051" type="#_x0000_t136" style="position:absolute;margin-left:0;margin-top:0;width:590.4pt;height:69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/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736" w:rsidRDefault="0002473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401796" o:spid="_x0000_s2049" type="#_x0000_t136" style="position:absolute;margin-left:0;margin-top:0;width:590.4pt;height:69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/Templa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6DF2"/>
    <w:multiLevelType w:val="hybridMultilevel"/>
    <w:tmpl w:val="6FF0C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02722"/>
    <w:multiLevelType w:val="hybridMultilevel"/>
    <w:tmpl w:val="FAE8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C4B8F"/>
    <w:multiLevelType w:val="hybridMultilevel"/>
    <w:tmpl w:val="CAE0A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2A7807"/>
    <w:multiLevelType w:val="hybridMultilevel"/>
    <w:tmpl w:val="05A2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1749E"/>
    <w:multiLevelType w:val="hybridMultilevel"/>
    <w:tmpl w:val="60760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0A2861"/>
    <w:multiLevelType w:val="hybridMultilevel"/>
    <w:tmpl w:val="8072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72391"/>
    <w:multiLevelType w:val="hybridMultilevel"/>
    <w:tmpl w:val="6A2CA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D5D5F"/>
    <w:multiLevelType w:val="hybridMultilevel"/>
    <w:tmpl w:val="98CC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9739D"/>
    <w:multiLevelType w:val="hybridMultilevel"/>
    <w:tmpl w:val="55B4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A77C0"/>
    <w:multiLevelType w:val="hybridMultilevel"/>
    <w:tmpl w:val="BA38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9B"/>
    <w:rsid w:val="0000508B"/>
    <w:rsid w:val="00024736"/>
    <w:rsid w:val="000F126A"/>
    <w:rsid w:val="000F25A6"/>
    <w:rsid w:val="002B0FA8"/>
    <w:rsid w:val="00323A4E"/>
    <w:rsid w:val="0053384E"/>
    <w:rsid w:val="006A3D45"/>
    <w:rsid w:val="006C579B"/>
    <w:rsid w:val="006F7014"/>
    <w:rsid w:val="007C3B1B"/>
    <w:rsid w:val="00852338"/>
    <w:rsid w:val="00862A58"/>
    <w:rsid w:val="0088790D"/>
    <w:rsid w:val="008E4EA0"/>
    <w:rsid w:val="009245B1"/>
    <w:rsid w:val="00A353D3"/>
    <w:rsid w:val="00B435A5"/>
    <w:rsid w:val="00B81070"/>
    <w:rsid w:val="00CA0C82"/>
    <w:rsid w:val="00CB6DE1"/>
    <w:rsid w:val="00D9458C"/>
    <w:rsid w:val="00E251F2"/>
    <w:rsid w:val="00E4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00324D7-AA60-4188-AE27-C30E312B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B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79B"/>
    <w:pPr>
      <w:spacing w:after="0" w:line="240" w:lineRule="auto"/>
    </w:pPr>
  </w:style>
  <w:style w:type="table" w:styleId="TableGrid">
    <w:name w:val="Table Grid"/>
    <w:basedOn w:val="TableNormal"/>
    <w:uiPriority w:val="39"/>
    <w:rsid w:val="000F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D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90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7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90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</dc:creator>
  <cp:keywords/>
  <dc:description/>
  <cp:lastModifiedBy>Heather Wallace</cp:lastModifiedBy>
  <cp:revision>6</cp:revision>
  <dcterms:created xsi:type="dcterms:W3CDTF">2016-05-04T04:21:00Z</dcterms:created>
  <dcterms:modified xsi:type="dcterms:W3CDTF">2017-03-13T17:25:00Z</dcterms:modified>
</cp:coreProperties>
</file>